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B7" w:rsidRPr="00A53CB7" w:rsidRDefault="00A53CB7" w:rsidP="00A53CB7">
      <w:p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color w:val="444444"/>
          <w:sz w:val="20"/>
          <w:szCs w:val="20"/>
          <w:lang w:eastAsia="es-ES"/>
        </w:rPr>
        <w:fldChar w:fldCharType="begin"/>
      </w:r>
      <w:r w:rsidRPr="00A53CB7">
        <w:rPr>
          <w:rFonts w:ascii="Open Sans" w:eastAsia="Times New Roman" w:hAnsi="Open Sans" w:cs="Helvetica"/>
          <w:color w:val="444444"/>
          <w:sz w:val="20"/>
          <w:szCs w:val="20"/>
          <w:lang w:eastAsia="es-ES"/>
        </w:rPr>
        <w:instrText xml:space="preserve"> HYPERLINK "http://www.tibagroup.com/es/exportador-autorizado?s=" </w:instrText>
      </w:r>
      <w:r w:rsidRPr="00A53CB7">
        <w:rPr>
          <w:rFonts w:ascii="Open Sans" w:eastAsia="Times New Roman" w:hAnsi="Open Sans" w:cs="Helvetica"/>
          <w:color w:val="444444"/>
          <w:sz w:val="20"/>
          <w:szCs w:val="20"/>
          <w:lang w:eastAsia="es-ES"/>
        </w:rPr>
        <w:fldChar w:fldCharType="separate"/>
      </w:r>
      <w:r w:rsidRPr="00A53CB7">
        <w:rPr>
          <w:rFonts w:ascii="Open Sans" w:eastAsia="Times New Roman" w:hAnsi="Open Sans" w:cs="Helvetica"/>
          <w:vanish/>
          <w:color w:val="0000FF"/>
          <w:sz w:val="20"/>
          <w:szCs w:val="20"/>
          <w:lang w:eastAsia="es-ES"/>
        </w:rPr>
        <w:t>Buscar</w:t>
      </w:r>
      <w:r w:rsidRPr="00A53CB7">
        <w:rPr>
          <w:rFonts w:ascii="Open Sans" w:eastAsia="Times New Roman" w:hAnsi="Open Sans" w:cs="Helvetica"/>
          <w:color w:val="444444"/>
          <w:sz w:val="20"/>
          <w:szCs w:val="20"/>
          <w:lang w:eastAsia="es-ES"/>
        </w:rPr>
        <w:fldChar w:fldCharType="end"/>
      </w:r>
    </w:p>
    <w:p w:rsidR="00A53CB7" w:rsidRPr="00A53CB7" w:rsidRDefault="00A53CB7" w:rsidP="00A53CB7">
      <w:pPr>
        <w:spacing w:before="100" w:beforeAutospacing="1" w:after="210" w:line="264" w:lineRule="atLeast"/>
        <w:outlineLvl w:val="0"/>
        <w:rPr>
          <w:rFonts w:ascii="Open Sans Condensed" w:eastAsia="Times New Roman" w:hAnsi="Open Sans Condensed" w:cs="Helvetica"/>
          <w:b/>
          <w:bCs/>
          <w:color w:val="444444"/>
          <w:kern w:val="36"/>
          <w:sz w:val="51"/>
          <w:szCs w:val="51"/>
          <w:lang w:eastAsia="es-ES"/>
        </w:rPr>
      </w:pPr>
      <w:hyperlink r:id="rId6" w:tooltip="Enlace permanente: Exportador autorizado a efectos de origen" w:history="1">
        <w:r w:rsidRPr="00A53CB7">
          <w:rPr>
            <w:rFonts w:ascii="Open Sans Condensed" w:eastAsia="Times New Roman" w:hAnsi="Open Sans Condensed" w:cs="Helvetica"/>
            <w:b/>
            <w:bCs/>
            <w:color w:val="0000FF"/>
            <w:kern w:val="36"/>
            <w:sz w:val="51"/>
            <w:szCs w:val="51"/>
            <w:lang w:eastAsia="es-ES"/>
          </w:rPr>
          <w:t>Exportador autorizado a efectos de origen</w:t>
        </w:r>
      </w:hyperlink>
    </w:p>
    <w:p w:rsidR="00A53CB7" w:rsidRPr="00A53CB7" w:rsidRDefault="00A53CB7" w:rsidP="00A53CB7">
      <w:pPr>
        <w:spacing w:before="100" w:beforeAutospacing="1" w:after="150" w:line="264" w:lineRule="atLeast"/>
        <w:outlineLvl w:val="1"/>
        <w:rPr>
          <w:rFonts w:ascii="Open Sans Condensed" w:eastAsia="Times New Roman" w:hAnsi="Open Sans Condensed" w:cs="Helvetica"/>
          <w:b/>
          <w:bCs/>
          <w:color w:val="444444"/>
          <w:sz w:val="42"/>
          <w:szCs w:val="42"/>
          <w:lang w:eastAsia="es-ES"/>
        </w:rPr>
      </w:pPr>
      <w:r w:rsidRPr="00A53CB7">
        <w:rPr>
          <w:rFonts w:ascii="Open Sans Condensed" w:eastAsia="Times New Roman" w:hAnsi="Open Sans Condensed" w:cs="Helvetica"/>
          <w:b/>
          <w:bCs/>
          <w:color w:val="444444"/>
          <w:sz w:val="42"/>
          <w:szCs w:val="42"/>
          <w:lang w:eastAsia="es-ES"/>
        </w:rPr>
        <w:t>¿En qué consiste el la obtención del estatuto de exportador autorizado a efectos de origen?</w:t>
      </w:r>
    </w:p>
    <w:p w:rsidR="00A53CB7" w:rsidRPr="00A53CB7" w:rsidRDefault="00A53CB7" w:rsidP="00A53CB7">
      <w:pPr>
        <w:spacing w:before="204" w:after="204" w:line="396" w:lineRule="atLeast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Es un sistema simplificado de prueba de origen en caso de exportaciones establecido en la mayoría de los Acuerdos preferenciales que tiene firmados la Comunidad Europea</w:t>
      </w:r>
    </w:p>
    <w:p w:rsidR="00A53CB7" w:rsidRPr="00A53CB7" w:rsidRDefault="00A53CB7" w:rsidP="00A53CB7">
      <w:pPr>
        <w:spacing w:before="204" w:after="204" w:line="396" w:lineRule="atLeast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Este sistema permite que la prueba de origen sea una </w:t>
      </w:r>
      <w:r w:rsidRPr="00A53CB7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es-ES"/>
        </w:rPr>
        <w:t>declaración en factura</w:t>
      </w: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 o en otro documento comercial en lugar de un certificado de origen que tenga que ser sellado cada vez por la Aduana por cada operación de exportación.</w:t>
      </w:r>
    </w:p>
    <w:p w:rsidR="00A53CB7" w:rsidRPr="00A53CB7" w:rsidRDefault="00A53CB7" w:rsidP="00A53CB7">
      <w:pPr>
        <w:spacing w:before="100" w:beforeAutospacing="1" w:after="150" w:line="264" w:lineRule="atLeast"/>
        <w:outlineLvl w:val="1"/>
        <w:rPr>
          <w:rFonts w:ascii="Open Sans Condensed" w:eastAsia="Times New Roman" w:hAnsi="Open Sans Condensed" w:cs="Helvetica"/>
          <w:b/>
          <w:bCs/>
          <w:color w:val="444444"/>
          <w:sz w:val="42"/>
          <w:szCs w:val="42"/>
          <w:lang w:eastAsia="es-ES"/>
        </w:rPr>
      </w:pPr>
      <w:r w:rsidRPr="00A53CB7">
        <w:rPr>
          <w:rFonts w:ascii="Open Sans Condensed" w:eastAsia="Times New Roman" w:hAnsi="Open Sans Condensed" w:cs="Helvetica"/>
          <w:b/>
          <w:bCs/>
          <w:color w:val="444444"/>
          <w:sz w:val="42"/>
          <w:szCs w:val="42"/>
          <w:lang w:eastAsia="es-ES"/>
        </w:rPr>
        <w:t>¿A qui</w:t>
      </w:r>
      <w:r>
        <w:rPr>
          <w:rFonts w:ascii="Open Sans Condensed" w:eastAsia="Times New Roman" w:hAnsi="Open Sans Condensed" w:cs="Helvetica"/>
          <w:b/>
          <w:bCs/>
          <w:color w:val="444444"/>
          <w:sz w:val="42"/>
          <w:szCs w:val="42"/>
          <w:lang w:eastAsia="es-ES"/>
        </w:rPr>
        <w:t>é</w:t>
      </w:r>
      <w:r w:rsidRPr="00A53CB7">
        <w:rPr>
          <w:rFonts w:ascii="Open Sans Condensed" w:eastAsia="Times New Roman" w:hAnsi="Open Sans Condensed" w:cs="Helvetica"/>
          <w:b/>
          <w:bCs/>
          <w:color w:val="444444"/>
          <w:sz w:val="42"/>
          <w:szCs w:val="42"/>
          <w:lang w:eastAsia="es-ES"/>
        </w:rPr>
        <w:t>n le interesa obtener el estatuto y qué requisitos debe cumplir?</w:t>
      </w:r>
    </w:p>
    <w:p w:rsidR="00A53CB7" w:rsidRPr="00A53CB7" w:rsidRDefault="00A53CB7" w:rsidP="00A53CB7">
      <w:pPr>
        <w:numPr>
          <w:ilvl w:val="0"/>
          <w:numId w:val="2"/>
        </w:numPr>
        <w:spacing w:before="100" w:beforeAutospacing="1" w:after="100" w:afterAutospacing="1" w:line="396" w:lineRule="atLeast"/>
        <w:ind w:left="225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A quienes efectuar exportaciones frecuentes (que se realicen con regularidad) a países con los que la Comunidad Europea tiene celebrados Acuerdos Preferenciales en los que esté prevista la posibilidad del procedimiento simplificado de exportador autorizado</w:t>
      </w:r>
    </w:p>
    <w:p w:rsidR="00A53CB7" w:rsidRPr="00A53CB7" w:rsidRDefault="00A53CB7" w:rsidP="00A53CB7">
      <w:pPr>
        <w:numPr>
          <w:ilvl w:val="0"/>
          <w:numId w:val="2"/>
        </w:numPr>
        <w:spacing w:before="100" w:beforeAutospacing="1" w:after="100" w:afterAutospacing="1" w:line="396" w:lineRule="atLeast"/>
        <w:ind w:left="225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Qué los productos objeto de exportación cumplan las normas de origen y demás requisitos establecidos en el Acuerdo Preferencial correspondiente.</w:t>
      </w:r>
    </w:p>
    <w:p w:rsidR="00A53CB7" w:rsidRPr="00A53CB7" w:rsidRDefault="00A53CB7" w:rsidP="00A53CB7">
      <w:pPr>
        <w:numPr>
          <w:ilvl w:val="0"/>
          <w:numId w:val="2"/>
        </w:numPr>
        <w:spacing w:before="100" w:beforeAutospacing="1" w:after="100" w:afterAutospacing="1" w:line="396" w:lineRule="atLeast"/>
        <w:ind w:left="225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El exportador que extienda una declaración en factura estará dispuesto </w:t>
      </w:r>
      <w:r w:rsidRPr="00A53CB7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es-ES"/>
        </w:rPr>
        <w:t>a presentar en todo momento</w:t>
      </w: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, a petición de las autoridades aduaneras del país de exportación </w:t>
      </w:r>
      <w:r w:rsidRPr="00A53CB7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es-ES"/>
        </w:rPr>
        <w:t>todos los documentos</w:t>
      </w: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 que demuestren el carácter originario de los productos y que se cumplen las demás condiciones previstas en las normas de origen de los Acuerdos Preferenciales.</w:t>
      </w:r>
    </w:p>
    <w:p w:rsidR="00A53CB7" w:rsidRPr="00A53CB7" w:rsidRDefault="00A53CB7" w:rsidP="00A53CB7">
      <w:pPr>
        <w:spacing w:before="100" w:beforeAutospacing="1" w:after="150" w:line="264" w:lineRule="atLeast"/>
        <w:outlineLvl w:val="1"/>
        <w:rPr>
          <w:rFonts w:ascii="Open Sans Condensed" w:eastAsia="Times New Roman" w:hAnsi="Open Sans Condensed" w:cs="Helvetica"/>
          <w:b/>
          <w:bCs/>
          <w:color w:val="444444"/>
          <w:sz w:val="42"/>
          <w:szCs w:val="42"/>
          <w:lang w:eastAsia="es-ES"/>
        </w:rPr>
      </w:pPr>
      <w:r w:rsidRPr="00A53CB7">
        <w:rPr>
          <w:rFonts w:ascii="Open Sans Condensed" w:eastAsia="Times New Roman" w:hAnsi="Open Sans Condensed" w:cs="Helvetica"/>
          <w:b/>
          <w:bCs/>
          <w:color w:val="444444"/>
          <w:sz w:val="42"/>
          <w:szCs w:val="42"/>
          <w:lang w:eastAsia="es-ES"/>
        </w:rPr>
        <w:t>¿Cómo puede una empresa solicitar la obtención del estatuto de exportador autorizado?</w:t>
      </w:r>
    </w:p>
    <w:p w:rsidR="00A53CB7" w:rsidRPr="00A53CB7" w:rsidRDefault="00A53CB7" w:rsidP="00A53CB7">
      <w:pPr>
        <w:spacing w:before="204" w:after="204" w:line="396" w:lineRule="atLeast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Es necesario presentar una solicitud que será rellenado por TIBA a partir de los datos que usted le haya aportado previamente, entre ellos:</w:t>
      </w:r>
    </w:p>
    <w:p w:rsidR="00A53CB7" w:rsidRPr="00A53CB7" w:rsidRDefault="00A53CB7" w:rsidP="00A53CB7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Identificación de la empresa (Nombre, NIF), así como de su domiciliación, teléfono, personas de contacto y firma del responsable autorizado por la empresa, ello a los efectos de la correcta tramitación del expediente que se genere.</w:t>
      </w:r>
    </w:p>
    <w:p w:rsidR="00A53CB7" w:rsidRPr="00A53CB7" w:rsidRDefault="00A53CB7" w:rsidP="00A53CB7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Descripción de los productos fabricados objeto de exportación y partida arancelaria de los mismos a nivel como mínimo de cuatro dígitos;</w:t>
      </w:r>
    </w:p>
    <w:p w:rsidR="00A53CB7" w:rsidRPr="00A53CB7" w:rsidRDefault="00A53CB7" w:rsidP="00A53CB7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Descripción de las materias primas, componentes, etc., utilizados para la fabricación de cada producto, así como el país de origen de los mismos, y caso de no ser originarios de la Comunidad, partida arancelaria a nivel de cuatro dígitos como mínimo;</w:t>
      </w:r>
    </w:p>
    <w:p w:rsidR="00A53CB7" w:rsidRPr="00A53CB7" w:rsidRDefault="00A53CB7" w:rsidP="00A53CB7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Porcentaje que representa las materias no originarias utilizadas sobre el producto fabricado objeto de exportación;</w:t>
      </w:r>
    </w:p>
    <w:p w:rsidR="00A53CB7" w:rsidRPr="00A53CB7" w:rsidRDefault="00A53CB7" w:rsidP="00A53CB7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Número total de EUR-1 solicitados en la Aduana en los DOS años anteriores a la presentación de la solicitud.</w:t>
      </w:r>
    </w:p>
    <w:p w:rsidR="00A53CB7" w:rsidRPr="00A53CB7" w:rsidRDefault="00A53CB7" w:rsidP="00A53CB7">
      <w:pPr>
        <w:numPr>
          <w:ilvl w:val="0"/>
          <w:numId w:val="3"/>
        </w:numPr>
        <w:spacing w:before="100" w:beforeAutospacing="1" w:after="100" w:afterAutospacing="1" w:line="396" w:lineRule="atLeast"/>
        <w:ind w:left="105"/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</w:pPr>
      <w:r w:rsidRPr="00A53CB7">
        <w:rPr>
          <w:rFonts w:ascii="Open Sans" w:eastAsia="Times New Roman" w:hAnsi="Open Sans" w:cs="Helvetica"/>
          <w:b/>
          <w:color w:val="444444"/>
          <w:sz w:val="20"/>
          <w:szCs w:val="20"/>
          <w:lang w:eastAsia="es-ES"/>
        </w:rPr>
        <w:t>Persona responsable ante la Administración y DNI.</w:t>
      </w:r>
    </w:p>
    <w:p w:rsidR="00A53CB7" w:rsidRDefault="00A53CB7" w:rsidP="00A53CB7">
      <w:pPr>
        <w:spacing w:before="100" w:beforeAutospacing="1" w:after="120" w:line="264" w:lineRule="atLeast"/>
        <w:outlineLvl w:val="2"/>
        <w:rPr>
          <w:rFonts w:ascii="Open Sans Condensed" w:eastAsia="Times New Roman" w:hAnsi="Open Sans Condensed" w:cs="Helvetica"/>
          <w:b/>
          <w:bCs/>
          <w:color w:val="444444"/>
          <w:sz w:val="30"/>
          <w:szCs w:val="30"/>
          <w:lang w:eastAsia="es-ES"/>
        </w:rPr>
      </w:pPr>
      <w:r>
        <w:rPr>
          <w:rFonts w:ascii="Open Sans Condensed" w:eastAsia="Times New Roman" w:hAnsi="Open Sans Condensed" w:cs="Helvetica"/>
          <w:b/>
          <w:bCs/>
          <w:color w:val="444444"/>
          <w:sz w:val="30"/>
          <w:szCs w:val="30"/>
          <w:lang w:eastAsia="es-ES"/>
        </w:rPr>
        <w:lastRenderedPageBreak/>
        <w:t xml:space="preserve">Podemos ocuparnos </w:t>
      </w:r>
      <w:r w:rsidRPr="00A53CB7">
        <w:rPr>
          <w:rFonts w:ascii="Open Sans Condensed" w:eastAsia="Times New Roman" w:hAnsi="Open Sans Condensed" w:cs="Helvetica"/>
          <w:b/>
          <w:bCs/>
          <w:color w:val="444444"/>
          <w:sz w:val="30"/>
          <w:szCs w:val="30"/>
          <w:lang w:eastAsia="es-ES"/>
        </w:rPr>
        <w:t xml:space="preserve"> de </w:t>
      </w:r>
      <w:proofErr w:type="gramStart"/>
      <w:r w:rsidRPr="00A53CB7">
        <w:rPr>
          <w:rFonts w:ascii="Open Sans Condensed" w:eastAsia="Times New Roman" w:hAnsi="Open Sans Condensed" w:cs="Helvetica"/>
          <w:b/>
          <w:bCs/>
          <w:color w:val="444444"/>
          <w:sz w:val="30"/>
          <w:szCs w:val="30"/>
          <w:lang w:eastAsia="es-ES"/>
        </w:rPr>
        <w:t>las tramitación</w:t>
      </w:r>
      <w:proofErr w:type="gramEnd"/>
      <w:r w:rsidRPr="00A53CB7">
        <w:rPr>
          <w:rFonts w:ascii="Open Sans Condensed" w:eastAsia="Times New Roman" w:hAnsi="Open Sans Condensed" w:cs="Helvetica"/>
          <w:b/>
          <w:bCs/>
          <w:color w:val="444444"/>
          <w:sz w:val="30"/>
          <w:szCs w:val="30"/>
          <w:lang w:eastAsia="es-ES"/>
        </w:rPr>
        <w:t xml:space="preserve"> ante la Aduana Español</w:t>
      </w:r>
      <w:r>
        <w:rPr>
          <w:rFonts w:ascii="Open Sans Condensed" w:eastAsia="Times New Roman" w:hAnsi="Open Sans Condensed" w:cs="Helvetica"/>
          <w:b/>
          <w:bCs/>
          <w:color w:val="444444"/>
          <w:sz w:val="30"/>
          <w:szCs w:val="30"/>
          <w:lang w:eastAsia="es-ES"/>
        </w:rPr>
        <w:t>a de la solicitud en su nombre.</w:t>
      </w:r>
      <w:bookmarkStart w:id="0" w:name="_GoBack"/>
      <w:bookmarkEnd w:id="0"/>
    </w:p>
    <w:p w:rsidR="00A53CB7" w:rsidRPr="00A53CB7" w:rsidRDefault="00A53CB7" w:rsidP="00A53CB7">
      <w:pPr>
        <w:spacing w:before="100" w:beforeAutospacing="1" w:after="120" w:line="264" w:lineRule="atLeast"/>
        <w:outlineLvl w:val="2"/>
        <w:rPr>
          <w:rFonts w:ascii="Open Sans Condensed" w:eastAsia="Times New Roman" w:hAnsi="Open Sans Condensed" w:cs="Helvetica"/>
          <w:b/>
          <w:bCs/>
          <w:color w:val="444444"/>
          <w:sz w:val="30"/>
          <w:szCs w:val="30"/>
          <w:lang w:eastAsia="es-ES"/>
        </w:rPr>
      </w:pPr>
      <w:r w:rsidRPr="00A53CB7">
        <w:rPr>
          <w:rFonts w:ascii="Open Sans Condensed" w:eastAsia="Times New Roman" w:hAnsi="Open Sans Condensed" w:cs="Helvetica"/>
          <w:b/>
          <w:bCs/>
          <w:color w:val="444444"/>
          <w:sz w:val="30"/>
          <w:szCs w:val="30"/>
          <w:lang w:eastAsia="es-ES"/>
        </w:rPr>
        <w:br/>
        <w:t>Si está interesado en este servicio, por favor, contacte con nosotros</w:t>
      </w:r>
    </w:p>
    <w:p w:rsidR="00B51B03" w:rsidRDefault="00B51B03"/>
    <w:sectPr w:rsidR="00B51B03" w:rsidSect="000A0BD2">
      <w:pgSz w:w="12240" w:h="20160" w:code="5"/>
      <w:pgMar w:top="1417" w:right="170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CCB"/>
    <w:multiLevelType w:val="multilevel"/>
    <w:tmpl w:val="8AF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730F3"/>
    <w:multiLevelType w:val="multilevel"/>
    <w:tmpl w:val="09F4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95D39"/>
    <w:multiLevelType w:val="multilevel"/>
    <w:tmpl w:val="5A8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B7"/>
    <w:rsid w:val="000A0BD2"/>
    <w:rsid w:val="00A53CB7"/>
    <w:rsid w:val="00B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58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9816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8478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1704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3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bagroup.com/es/exportador-autoriza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Garcia</dc:creator>
  <cp:lastModifiedBy>Marco Garcia</cp:lastModifiedBy>
  <cp:revision>1</cp:revision>
  <dcterms:created xsi:type="dcterms:W3CDTF">2016-10-26T09:29:00Z</dcterms:created>
  <dcterms:modified xsi:type="dcterms:W3CDTF">2016-10-26T09:31:00Z</dcterms:modified>
</cp:coreProperties>
</file>